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86E" w:rsidRDefault="0045386E" w:rsidP="0045386E">
      <w:pPr>
        <w:widowControl/>
        <w:shd w:val="clear" w:color="auto" w:fill="FFFFFF"/>
        <w:spacing w:line="315" w:lineRule="atLeast"/>
        <w:rPr>
          <w:rFonts w:ascii="Helvetica" w:hAnsi="Helvetica" w:cs="Helvetica"/>
          <w:color w:val="0A0A0A"/>
          <w:kern w:val="0"/>
          <w:sz w:val="21"/>
          <w:szCs w:val="21"/>
        </w:rPr>
      </w:pPr>
      <w:r>
        <w:rPr>
          <w:rFonts w:ascii="Helvetica" w:hAnsi="Helvetica" w:cs="Helvetica"/>
          <w:noProof/>
          <w:color w:val="000000"/>
          <w:sz w:val="21"/>
          <w:szCs w:val="21"/>
        </w:rPr>
        <w:drawing>
          <wp:inline distT="0" distB="0" distL="0" distR="0">
            <wp:extent cx="1600200" cy="1133475"/>
            <wp:effectExtent l="0" t="0" r="0" b="0"/>
            <wp:docPr id="1" name="Picture 1" descr="Top Rich - 高空工作專門店">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Rich - 高空工作專門店">
                      <a:hlinkClick r:id="rId5"/>
                    </pic:cNvP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600200" cy="1133475"/>
                    </a:xfrm>
                    <a:prstGeom prst="rect">
                      <a:avLst/>
                    </a:prstGeom>
                    <a:noFill/>
                    <a:ln>
                      <a:noFill/>
                    </a:ln>
                  </pic:spPr>
                </pic:pic>
              </a:graphicData>
            </a:graphic>
          </wp:inline>
        </w:drawing>
      </w:r>
    </w:p>
    <w:p w:rsidR="0045386E" w:rsidRDefault="0045386E" w:rsidP="0045386E">
      <w:pPr>
        <w:pStyle w:val="Heading4"/>
        <w:shd w:val="clear" w:color="auto" w:fill="FFFFFF"/>
        <w:spacing w:before="60" w:beforeAutospacing="0" w:after="0" w:afterAutospacing="0"/>
        <w:rPr>
          <w:rFonts w:ascii="Helvetica" w:hAnsi="Helvetica" w:cs="Helvetica"/>
          <w:color w:val="0A0A0A"/>
          <w:spacing w:val="-8"/>
          <w:sz w:val="21"/>
          <w:szCs w:val="21"/>
        </w:rPr>
      </w:pPr>
    </w:p>
    <w:p w:rsidR="0045386E" w:rsidRDefault="0045386E" w:rsidP="0045386E">
      <w:pPr>
        <w:jc w:val="center"/>
        <w:rPr>
          <w:b/>
          <w:sz w:val="28"/>
        </w:rPr>
      </w:pPr>
      <w:r>
        <w:rPr>
          <w:rFonts w:hint="eastAsia"/>
          <w:b/>
          <w:sz w:val="28"/>
          <w:u w:val="single"/>
        </w:rPr>
        <w:t>金屬流動工作台搭拆程序及安全指引</w:t>
      </w:r>
    </w:p>
    <w:p w:rsidR="0045386E" w:rsidRDefault="0045386E" w:rsidP="0045386E">
      <w:pPr>
        <w:rPr>
          <w:rFonts w:ascii="新細明體" w:hAnsi="新細明體"/>
          <w:sz w:val="21"/>
        </w:rPr>
      </w:pPr>
      <w:r>
        <w:rPr>
          <w:rFonts w:ascii="新細明體" w:hAnsi="新細明體" w:hint="eastAsia"/>
          <w:b/>
          <w:sz w:val="21"/>
        </w:rPr>
        <w:t xml:space="preserve">甲.   </w:t>
      </w:r>
      <w:r>
        <w:rPr>
          <w:rFonts w:ascii="新細明體" w:hAnsi="新細明體" w:hint="eastAsia"/>
          <w:b/>
          <w:sz w:val="21"/>
          <w:u w:val="single"/>
        </w:rPr>
        <w:t>金屬流動工作台一般裝搭方法程序</w:t>
      </w:r>
    </w:p>
    <w:p w:rsidR="0045386E" w:rsidRDefault="0045386E" w:rsidP="0045386E">
      <w:pPr>
        <w:numPr>
          <w:ilvl w:val="0"/>
          <w:numId w:val="1"/>
        </w:numPr>
        <w:rPr>
          <w:rFonts w:ascii="新細明體" w:hAnsi="新細明體" w:hint="eastAsia"/>
          <w:sz w:val="21"/>
        </w:rPr>
      </w:pPr>
      <w:r>
        <w:rPr>
          <w:rFonts w:ascii="新細明體" w:hAnsi="新細明體" w:hint="eastAsia"/>
          <w:sz w:val="21"/>
        </w:rPr>
        <w:t>檢查每一件通架組件，確保所有組件均構造良好和沒有明顯損壞。</w:t>
      </w:r>
    </w:p>
    <w:p w:rsidR="0045386E" w:rsidRDefault="0045386E" w:rsidP="0045386E">
      <w:pPr>
        <w:numPr>
          <w:ilvl w:val="0"/>
          <w:numId w:val="1"/>
        </w:numPr>
        <w:rPr>
          <w:rFonts w:ascii="新細明體" w:hAnsi="新細明體" w:hint="eastAsia"/>
          <w:sz w:val="21"/>
        </w:rPr>
      </w:pPr>
      <w:r>
        <w:rPr>
          <w:rFonts w:ascii="新細明體" w:hAnsi="新細明體" w:hint="eastAsia"/>
          <w:sz w:val="21"/>
        </w:rPr>
        <w:t>檢查地台情況，確保鐵架是建築在平坦、結實和堅硬的地面上。</w:t>
      </w:r>
    </w:p>
    <w:p w:rsidR="0045386E" w:rsidRDefault="0045386E" w:rsidP="0045386E">
      <w:pPr>
        <w:numPr>
          <w:ilvl w:val="0"/>
          <w:numId w:val="1"/>
        </w:numPr>
        <w:ind w:right="32"/>
        <w:rPr>
          <w:rFonts w:ascii="新細明體" w:hAnsi="新細明體" w:hint="eastAsia"/>
          <w:sz w:val="21"/>
        </w:rPr>
      </w:pPr>
      <w:r>
        <w:rPr>
          <w:rFonts w:ascii="新細明體" w:hAnsi="新細明體" w:hint="eastAsia"/>
          <w:sz w:val="21"/>
        </w:rPr>
        <w:t>搭建最底層時，如平台須加裝腳撐之類的穩定組件，應在搭建底層時立即裝妥。如腳撐未裝妥，切勿繼續搭建第二層棚架。</w:t>
      </w:r>
    </w:p>
    <w:p w:rsidR="0045386E" w:rsidRDefault="0045386E" w:rsidP="0045386E">
      <w:pPr>
        <w:numPr>
          <w:ilvl w:val="0"/>
          <w:numId w:val="1"/>
        </w:numPr>
        <w:ind w:right="32"/>
        <w:rPr>
          <w:rFonts w:ascii="新細明體" w:hAnsi="新細明體" w:hint="eastAsia"/>
          <w:sz w:val="21"/>
        </w:rPr>
      </w:pPr>
      <w:r>
        <w:rPr>
          <w:rFonts w:ascii="新細明體" w:hAnsi="新細明體" w:hint="eastAsia"/>
          <w:sz w:val="21"/>
        </w:rPr>
        <w:t>如平台附設戥碼，應在搭建底層時裝妥在適當的位置，否則不應繼續搭建第二層。</w:t>
      </w:r>
    </w:p>
    <w:p w:rsidR="0045386E" w:rsidRDefault="0045386E" w:rsidP="0045386E">
      <w:pPr>
        <w:numPr>
          <w:ilvl w:val="0"/>
          <w:numId w:val="1"/>
        </w:numPr>
        <w:ind w:right="-874"/>
        <w:rPr>
          <w:rFonts w:ascii="新細明體" w:hAnsi="新細明體" w:hint="eastAsia"/>
          <w:sz w:val="21"/>
        </w:rPr>
      </w:pPr>
      <w:r>
        <w:rPr>
          <w:rFonts w:ascii="新細明體" w:hAnsi="新細明體" w:hint="eastAsia"/>
          <w:sz w:val="21"/>
        </w:rPr>
        <w:t>調較底層平水和鎖好所有腳輪的制動。</w:t>
      </w:r>
    </w:p>
    <w:p w:rsidR="0045386E" w:rsidRDefault="0045386E" w:rsidP="0045386E">
      <w:pPr>
        <w:numPr>
          <w:ilvl w:val="0"/>
          <w:numId w:val="1"/>
        </w:numPr>
        <w:ind w:right="32"/>
        <w:rPr>
          <w:rFonts w:ascii="新細明體" w:hAnsi="新細明體" w:hint="eastAsia"/>
          <w:sz w:val="21"/>
        </w:rPr>
      </w:pPr>
      <w:r>
        <w:rPr>
          <w:rFonts w:ascii="新細明體" w:hAnsi="新細明體" w:hint="eastAsia"/>
          <w:sz w:val="21"/>
        </w:rPr>
        <w:t>如工作台備有梯子，在搭建每一層棚架時應和有關的扶手欄杆一并裝妥。此是為搭棚工在塔建過程中提供安全之上落通道。 切勿完成安裝整個工作台後，才安裝樓梯。</w:t>
      </w:r>
    </w:p>
    <w:p w:rsidR="0045386E" w:rsidRDefault="0045386E" w:rsidP="0045386E">
      <w:pPr>
        <w:numPr>
          <w:ilvl w:val="0"/>
          <w:numId w:val="1"/>
        </w:numPr>
        <w:ind w:right="-874"/>
        <w:rPr>
          <w:rFonts w:ascii="新細明體" w:hAnsi="新細明體" w:hint="eastAsia"/>
          <w:sz w:val="21"/>
        </w:rPr>
      </w:pPr>
      <w:r>
        <w:rPr>
          <w:rFonts w:ascii="新細明體" w:hAnsi="新細明體" w:hint="eastAsia"/>
          <w:sz w:val="21"/>
        </w:rPr>
        <w:t>請用適當的起重機、吊帶、繩索或其他適當的起重工具，吊運工作台的組件。</w:t>
      </w:r>
    </w:p>
    <w:p w:rsidR="0045386E" w:rsidRDefault="0045386E" w:rsidP="0045386E">
      <w:pPr>
        <w:numPr>
          <w:ilvl w:val="0"/>
          <w:numId w:val="1"/>
        </w:numPr>
        <w:ind w:right="-88"/>
        <w:rPr>
          <w:rFonts w:ascii="新細明體" w:hAnsi="新細明體" w:hint="eastAsia"/>
          <w:sz w:val="21"/>
        </w:rPr>
      </w:pPr>
      <w:r>
        <w:rPr>
          <w:rFonts w:ascii="新細明體" w:hAnsi="新細明體" w:hint="eastAsia"/>
          <w:sz w:val="21"/>
        </w:rPr>
        <w:t>如工作台須安裝頂通或中途牆碼，在工作台搭建至相應的高度時，應立即把該等扣碼裝妥在預設之位置上。未裝妥扣碼前，切勿繼續搭建工作台。</w:t>
      </w:r>
    </w:p>
    <w:p w:rsidR="0045386E" w:rsidRDefault="0045386E" w:rsidP="0045386E">
      <w:pPr>
        <w:numPr>
          <w:ilvl w:val="0"/>
          <w:numId w:val="1"/>
        </w:numPr>
        <w:ind w:right="32"/>
        <w:rPr>
          <w:rFonts w:ascii="新細明體" w:hAnsi="新細明體" w:hint="eastAsia"/>
          <w:sz w:val="21"/>
        </w:rPr>
      </w:pPr>
      <w:r>
        <w:rPr>
          <w:rFonts w:ascii="新細明體" w:hAnsi="新細明體" w:hint="eastAsia"/>
          <w:sz w:val="21"/>
        </w:rPr>
        <w:t>在完成搭建後，工作台尚未可以使用。工作台應由法例認可的合資格人仕檢驗及發出有關合格証書後方可使用。</w:t>
      </w:r>
    </w:p>
    <w:p w:rsidR="0045386E" w:rsidRDefault="0045386E" w:rsidP="0045386E">
      <w:pPr>
        <w:numPr>
          <w:ilvl w:val="0"/>
          <w:numId w:val="1"/>
        </w:numPr>
        <w:ind w:right="32"/>
        <w:rPr>
          <w:rFonts w:ascii="新細明體" w:hAnsi="新細明體" w:hint="eastAsia"/>
          <w:sz w:val="21"/>
        </w:rPr>
      </w:pPr>
      <w:r>
        <w:rPr>
          <w:rFonts w:ascii="新細明體" w:hAnsi="新細明體" w:hint="eastAsia"/>
          <w:sz w:val="21"/>
        </w:rPr>
        <w:t>請注意及遵守當局其他有關的條例。可參考：金屬棚架工作安全守則2001—職業安全及健康部。</w:t>
      </w:r>
    </w:p>
    <w:p w:rsidR="0045386E" w:rsidRDefault="0045386E" w:rsidP="0045386E">
      <w:pPr>
        <w:spacing w:line="240" w:lineRule="exact"/>
        <w:ind w:right="34"/>
        <w:rPr>
          <w:rFonts w:ascii="新細明體" w:hAnsi="新細明體" w:hint="eastAsia"/>
          <w:sz w:val="21"/>
        </w:rPr>
      </w:pPr>
    </w:p>
    <w:p w:rsidR="0045386E" w:rsidRDefault="0045386E" w:rsidP="0045386E">
      <w:pPr>
        <w:rPr>
          <w:rFonts w:ascii="新細明體" w:hAnsi="新細明體" w:hint="eastAsia"/>
          <w:sz w:val="21"/>
        </w:rPr>
      </w:pPr>
      <w:r>
        <w:rPr>
          <w:rFonts w:ascii="新細明體" w:hAnsi="新細明體" w:hint="eastAsia"/>
          <w:b/>
          <w:sz w:val="21"/>
        </w:rPr>
        <w:t xml:space="preserve">乙.   </w:t>
      </w:r>
      <w:r>
        <w:rPr>
          <w:rFonts w:ascii="新細明體" w:hAnsi="新細明體" w:hint="eastAsia"/>
          <w:b/>
          <w:sz w:val="21"/>
          <w:u w:val="single"/>
        </w:rPr>
        <w:t>搭建及拆卸金屬工作台安全注意事項</w:t>
      </w:r>
    </w:p>
    <w:p w:rsidR="0045386E" w:rsidRDefault="0045386E" w:rsidP="0045386E">
      <w:pPr>
        <w:numPr>
          <w:ilvl w:val="0"/>
          <w:numId w:val="2"/>
        </w:numPr>
        <w:rPr>
          <w:rFonts w:ascii="新細明體" w:hAnsi="新細明體" w:hint="eastAsia"/>
          <w:sz w:val="21"/>
        </w:rPr>
      </w:pPr>
      <w:r>
        <w:rPr>
          <w:rFonts w:ascii="新細明體" w:hAnsi="新細明體" w:hint="eastAsia"/>
          <w:sz w:val="21"/>
        </w:rPr>
        <w:t>搭建及拆卸工作台時，盡可能在工作範圍擺設臨時圍欄。</w:t>
      </w:r>
    </w:p>
    <w:p w:rsidR="0045386E" w:rsidRDefault="0045386E" w:rsidP="0045386E">
      <w:pPr>
        <w:numPr>
          <w:ilvl w:val="0"/>
          <w:numId w:val="2"/>
        </w:numPr>
        <w:rPr>
          <w:rFonts w:ascii="新細明體" w:hAnsi="新細明體" w:hint="eastAsia"/>
          <w:sz w:val="21"/>
        </w:rPr>
      </w:pPr>
      <w:r>
        <w:rPr>
          <w:rFonts w:ascii="新細明體" w:hAnsi="新細明體" w:hint="eastAsia"/>
          <w:sz w:val="21"/>
        </w:rPr>
        <w:t>所有起重工具如起重絞機、吊索及滑輪等，必須符合有關法例規格及備有有效檢驗証書方可使用。</w:t>
      </w:r>
    </w:p>
    <w:p w:rsidR="0045386E" w:rsidRDefault="0045386E" w:rsidP="0045386E">
      <w:pPr>
        <w:numPr>
          <w:ilvl w:val="0"/>
          <w:numId w:val="2"/>
        </w:numPr>
        <w:rPr>
          <w:rFonts w:ascii="新細明體" w:hAnsi="新細明體" w:hint="eastAsia"/>
          <w:sz w:val="21"/>
        </w:rPr>
      </w:pPr>
      <w:r>
        <w:rPr>
          <w:rFonts w:ascii="新細明體" w:hAnsi="新細明體" w:hint="eastAsia"/>
          <w:sz w:val="21"/>
        </w:rPr>
        <w:t>請配戴個人安全設備，如安全帽和固定的救生繩等。</w:t>
      </w:r>
    </w:p>
    <w:p w:rsidR="0045386E" w:rsidRDefault="0045386E" w:rsidP="0045386E">
      <w:pPr>
        <w:numPr>
          <w:ilvl w:val="0"/>
          <w:numId w:val="2"/>
        </w:numPr>
        <w:rPr>
          <w:rFonts w:ascii="新細明體" w:hAnsi="新細明體" w:hint="eastAsia"/>
          <w:sz w:val="21"/>
        </w:rPr>
      </w:pPr>
      <w:r>
        <w:rPr>
          <w:rFonts w:ascii="新細明體" w:hAnsi="新細明體" w:hint="eastAsia"/>
          <w:sz w:val="21"/>
        </w:rPr>
        <w:t>進行搭建及拆卸工作台時，應使用堅固的踏板作為臨時工作平台。</w:t>
      </w:r>
    </w:p>
    <w:p w:rsidR="0045386E" w:rsidRDefault="0045386E" w:rsidP="0045386E">
      <w:pPr>
        <w:numPr>
          <w:ilvl w:val="0"/>
          <w:numId w:val="2"/>
        </w:numPr>
        <w:rPr>
          <w:rFonts w:ascii="新細明體" w:hAnsi="新細明體" w:hint="eastAsia"/>
          <w:sz w:val="21"/>
        </w:rPr>
      </w:pPr>
      <w:r>
        <w:rPr>
          <w:rFonts w:ascii="新細明體" w:hAnsi="新細明體" w:hint="eastAsia"/>
          <w:sz w:val="21"/>
        </w:rPr>
        <w:t>仔細閱讀製造商專門為每款特定工作台提供的裝拆指示及安全指引。</w:t>
      </w:r>
    </w:p>
    <w:p w:rsidR="0045386E" w:rsidRDefault="0045386E" w:rsidP="0045386E">
      <w:pPr>
        <w:numPr>
          <w:ilvl w:val="0"/>
          <w:numId w:val="2"/>
        </w:numPr>
        <w:rPr>
          <w:rFonts w:ascii="新細明體" w:hAnsi="新細明體" w:hint="eastAsia"/>
          <w:sz w:val="21"/>
        </w:rPr>
      </w:pPr>
      <w:r>
        <w:rPr>
          <w:rFonts w:ascii="新細明體" w:hAnsi="新細明體" w:hint="eastAsia"/>
          <w:sz w:val="21"/>
        </w:rPr>
        <w:t>切勿從外面攀爬工作台。請使用預設的階梯、樓梯或梯架在工作台內面上落。</w:t>
      </w:r>
    </w:p>
    <w:p w:rsidR="0045386E" w:rsidRDefault="0045386E" w:rsidP="0045386E">
      <w:pPr>
        <w:numPr>
          <w:ilvl w:val="0"/>
          <w:numId w:val="2"/>
        </w:numPr>
        <w:rPr>
          <w:rFonts w:ascii="新細明體" w:hAnsi="新細明體" w:hint="eastAsia"/>
          <w:sz w:val="21"/>
        </w:rPr>
      </w:pPr>
      <w:r>
        <w:rPr>
          <w:rFonts w:ascii="新細明體" w:hAnsi="新細明體" w:hint="eastAsia"/>
          <w:sz w:val="21"/>
        </w:rPr>
        <w:t>如果工作台是建築在戶外，切勿在天氣惡劣的情況下進行安裝及拆卸工作。 離開工作台前，切記扣緊所有鬆脫的配件。</w:t>
      </w:r>
    </w:p>
    <w:p w:rsidR="0045386E" w:rsidRDefault="0045386E" w:rsidP="0045386E">
      <w:pPr>
        <w:numPr>
          <w:ilvl w:val="0"/>
          <w:numId w:val="2"/>
        </w:numPr>
        <w:rPr>
          <w:rFonts w:ascii="新細明體" w:hAnsi="新細明體" w:hint="eastAsia"/>
          <w:sz w:val="21"/>
        </w:rPr>
      </w:pPr>
      <w:r>
        <w:rPr>
          <w:rFonts w:ascii="新細明體" w:hAnsi="新細明體" w:hint="eastAsia"/>
          <w:sz w:val="21"/>
        </w:rPr>
        <w:t>棚架工作必須在 “合資格人員” 監督下，由 “合資格工人” 進行。(可參考: Regulation 38E of the CSSR)</w:t>
      </w:r>
    </w:p>
    <w:p w:rsidR="0045386E" w:rsidRDefault="0045386E" w:rsidP="0045386E">
      <w:pPr>
        <w:numPr>
          <w:ilvl w:val="0"/>
          <w:numId w:val="2"/>
        </w:numPr>
        <w:rPr>
          <w:rFonts w:ascii="新細明體" w:hAnsi="新細明體" w:hint="eastAsia"/>
          <w:sz w:val="21"/>
        </w:rPr>
      </w:pPr>
      <w:r>
        <w:rPr>
          <w:rFonts w:ascii="新細明體" w:hAnsi="新細明體" w:hint="eastAsia"/>
          <w:sz w:val="21"/>
        </w:rPr>
        <w:t>吊運物料或棚架組件時，必須在通架內部進行，以保持工作台的穩定性。</w:t>
      </w:r>
    </w:p>
    <w:p w:rsidR="0045386E" w:rsidRDefault="0045386E" w:rsidP="0045386E">
      <w:pPr>
        <w:numPr>
          <w:ilvl w:val="0"/>
          <w:numId w:val="2"/>
        </w:numPr>
        <w:rPr>
          <w:rFonts w:ascii="新細明體" w:hAnsi="新細明體" w:hint="eastAsia"/>
          <w:sz w:val="21"/>
        </w:rPr>
      </w:pPr>
      <w:r>
        <w:rPr>
          <w:rFonts w:ascii="新細明體" w:hAnsi="新細明體" w:hint="eastAsia"/>
          <w:sz w:val="21"/>
        </w:rPr>
        <w:t>不可以在獨立式金屬工作台安裝任何附加的起重設備。</w:t>
      </w:r>
    </w:p>
    <w:p w:rsidR="0045386E" w:rsidRDefault="0045386E" w:rsidP="0045386E">
      <w:pPr>
        <w:numPr>
          <w:ilvl w:val="0"/>
          <w:numId w:val="1"/>
        </w:numPr>
        <w:ind w:right="32"/>
        <w:rPr>
          <w:rFonts w:ascii="新細明體" w:hAnsi="新細明體" w:hint="eastAsia"/>
          <w:sz w:val="21"/>
        </w:rPr>
      </w:pPr>
      <w:r>
        <w:rPr>
          <w:rFonts w:ascii="新細明體" w:hAnsi="新細明體" w:hint="eastAsia"/>
          <w:sz w:val="21"/>
        </w:rPr>
        <w:lastRenderedPageBreak/>
        <w:t>請注意及遵守當局其他有關的條例。可參考：金屬棚架工作安全守則2001—職業安全及健康部。</w:t>
      </w:r>
    </w:p>
    <w:p w:rsidR="0045386E" w:rsidRDefault="0045386E" w:rsidP="0045386E">
      <w:pPr>
        <w:spacing w:line="240" w:lineRule="exact"/>
        <w:rPr>
          <w:rFonts w:ascii="新細明體" w:hAnsi="新細明體" w:hint="eastAsia"/>
          <w:sz w:val="21"/>
        </w:rPr>
      </w:pPr>
    </w:p>
    <w:p w:rsidR="0045386E" w:rsidRDefault="0045386E" w:rsidP="0045386E">
      <w:pPr>
        <w:spacing w:line="440" w:lineRule="exact"/>
        <w:jc w:val="both"/>
        <w:rPr>
          <w:rFonts w:ascii="新細明體" w:hAnsi="新細明體" w:hint="eastAsia"/>
          <w:b/>
          <w:sz w:val="21"/>
          <w:u w:val="single"/>
        </w:rPr>
      </w:pPr>
      <w:r>
        <w:rPr>
          <w:rFonts w:ascii="新細明體" w:hAnsi="新細明體" w:hint="eastAsia"/>
          <w:b/>
          <w:sz w:val="21"/>
        </w:rPr>
        <w:t xml:space="preserve">丙.   </w:t>
      </w:r>
      <w:r>
        <w:rPr>
          <w:rFonts w:ascii="新細明體" w:hAnsi="新細明體" w:hint="eastAsia"/>
          <w:b/>
          <w:sz w:val="21"/>
          <w:u w:val="single"/>
        </w:rPr>
        <w:t>流動金屬工作台的安全使用守則</w:t>
      </w:r>
    </w:p>
    <w:p w:rsidR="0045386E" w:rsidRDefault="0045386E" w:rsidP="0045386E">
      <w:pPr>
        <w:numPr>
          <w:ilvl w:val="0"/>
          <w:numId w:val="3"/>
        </w:numPr>
        <w:spacing w:line="440" w:lineRule="exact"/>
        <w:jc w:val="both"/>
        <w:rPr>
          <w:rFonts w:ascii="新細明體" w:hAnsi="新細明體" w:hint="eastAsia"/>
          <w:sz w:val="21"/>
        </w:rPr>
      </w:pPr>
      <w:r>
        <w:rPr>
          <w:rFonts w:ascii="新細明體" w:hAnsi="新細明體" w:hint="eastAsia"/>
          <w:sz w:val="21"/>
        </w:rPr>
        <w:t>不可以同一時間在二層或以上工作台板上工作或載重。</w:t>
      </w:r>
    </w:p>
    <w:p w:rsidR="0045386E" w:rsidRDefault="0045386E" w:rsidP="0045386E">
      <w:pPr>
        <w:numPr>
          <w:ilvl w:val="0"/>
          <w:numId w:val="3"/>
        </w:numPr>
        <w:spacing w:line="440" w:lineRule="exact"/>
        <w:jc w:val="both"/>
        <w:rPr>
          <w:rFonts w:ascii="新細明體" w:hAnsi="新細明體" w:hint="eastAsia"/>
          <w:sz w:val="21"/>
        </w:rPr>
      </w:pPr>
      <w:r>
        <w:rPr>
          <w:rFonts w:ascii="新細明體" w:hAnsi="新細明體" w:hint="eastAsia"/>
          <w:sz w:val="21"/>
        </w:rPr>
        <w:t>切勿在工作台上放置過量或過多人數，以免工作台負荷過重。</w:t>
      </w:r>
    </w:p>
    <w:p w:rsidR="0045386E" w:rsidRDefault="0045386E" w:rsidP="0045386E">
      <w:pPr>
        <w:numPr>
          <w:ilvl w:val="0"/>
          <w:numId w:val="3"/>
        </w:numPr>
        <w:spacing w:line="440" w:lineRule="exact"/>
        <w:jc w:val="both"/>
        <w:rPr>
          <w:rFonts w:ascii="新細明體" w:hAnsi="新細明體" w:hint="eastAsia"/>
          <w:sz w:val="21"/>
        </w:rPr>
      </w:pPr>
      <w:r>
        <w:rPr>
          <w:rFonts w:ascii="新細明體" w:hAnsi="新細明體" w:hint="eastAsia"/>
          <w:sz w:val="21"/>
        </w:rPr>
        <w:t>請把細小的配件或工件放在容器內，以免它們從工作台上掉下來。</w:t>
      </w:r>
    </w:p>
    <w:p w:rsidR="0045386E" w:rsidRDefault="0045386E" w:rsidP="0045386E">
      <w:pPr>
        <w:numPr>
          <w:ilvl w:val="0"/>
          <w:numId w:val="3"/>
        </w:numPr>
        <w:spacing w:line="440" w:lineRule="exact"/>
        <w:jc w:val="both"/>
        <w:rPr>
          <w:rFonts w:ascii="新細明體" w:hAnsi="新細明體" w:hint="eastAsia"/>
          <w:sz w:val="21"/>
        </w:rPr>
      </w:pPr>
      <w:r>
        <w:rPr>
          <w:rFonts w:ascii="新細明體" w:hAnsi="新細明體" w:hint="eastAsia"/>
          <w:sz w:val="21"/>
        </w:rPr>
        <w:t>不使用工作台時，盡可能將之圍起或鎖好，以免其他人仕誤用而引起意外。切勿隋便留下工作台在公眾地方，以免小孩攀登。 可上鎖之活門裝置為其中一項有效的安全措施。</w:t>
      </w:r>
    </w:p>
    <w:p w:rsidR="0045386E" w:rsidRDefault="0045386E" w:rsidP="0045386E">
      <w:pPr>
        <w:numPr>
          <w:ilvl w:val="0"/>
          <w:numId w:val="3"/>
        </w:numPr>
        <w:spacing w:line="440" w:lineRule="exact"/>
        <w:jc w:val="both"/>
        <w:rPr>
          <w:rFonts w:ascii="新細明體" w:hAnsi="新細明體" w:hint="eastAsia"/>
          <w:sz w:val="21"/>
        </w:rPr>
      </w:pPr>
      <w:r>
        <w:rPr>
          <w:rFonts w:ascii="新細明體" w:hAnsi="新細明體" w:hint="eastAsia"/>
          <w:sz w:val="21"/>
        </w:rPr>
        <w:t>如工作台在室外使用，切勿用帆布封蓋，以免被風吹倒。</w:t>
      </w:r>
    </w:p>
    <w:p w:rsidR="0045386E" w:rsidRDefault="0045386E" w:rsidP="0045386E">
      <w:pPr>
        <w:numPr>
          <w:ilvl w:val="0"/>
          <w:numId w:val="3"/>
        </w:numPr>
        <w:spacing w:line="440" w:lineRule="exact"/>
        <w:jc w:val="both"/>
        <w:rPr>
          <w:rFonts w:ascii="新細明體" w:hAnsi="新細明體" w:hint="eastAsia"/>
          <w:sz w:val="21"/>
        </w:rPr>
      </w:pPr>
      <w:r>
        <w:rPr>
          <w:rFonts w:ascii="新細明體" w:hAnsi="新細明體" w:hint="eastAsia"/>
          <w:sz w:val="21"/>
        </w:rPr>
        <w:t>切勿在工作台上使用其他加高工具如椅子或梯子等，此舉會使工作台失去重心而翻倒。</w:t>
      </w:r>
    </w:p>
    <w:p w:rsidR="0045386E" w:rsidRDefault="0045386E" w:rsidP="0045386E">
      <w:pPr>
        <w:numPr>
          <w:ilvl w:val="0"/>
          <w:numId w:val="3"/>
        </w:numPr>
        <w:spacing w:line="440" w:lineRule="exact"/>
        <w:jc w:val="both"/>
        <w:rPr>
          <w:rFonts w:ascii="新細明體" w:hAnsi="新細明體" w:hint="eastAsia"/>
          <w:sz w:val="21"/>
        </w:rPr>
      </w:pPr>
      <w:r>
        <w:rPr>
          <w:rFonts w:ascii="新細明體" w:hAnsi="新細明體" w:hint="eastAsia"/>
          <w:sz w:val="21"/>
        </w:rPr>
        <w:t>要特別注意工作時所產生的水平外力，過大的水平外力可引致工作台傾倒。可把工作台緊扣在鄰近堅固的建築物上或加闊腳撐和增加戥碼，才進行此類工作。如有任何疑問應立即諮詢供應商。</w:t>
      </w:r>
    </w:p>
    <w:p w:rsidR="0045386E" w:rsidRDefault="0045386E" w:rsidP="0045386E">
      <w:pPr>
        <w:numPr>
          <w:ilvl w:val="0"/>
          <w:numId w:val="3"/>
        </w:numPr>
        <w:spacing w:line="440" w:lineRule="exact"/>
        <w:jc w:val="both"/>
        <w:rPr>
          <w:rFonts w:ascii="新細明體" w:hAnsi="新細明體" w:hint="eastAsia"/>
          <w:sz w:val="21"/>
        </w:rPr>
      </w:pPr>
      <w:r>
        <w:rPr>
          <w:rFonts w:ascii="新細明體" w:hAnsi="新細明體" w:hint="eastAsia"/>
          <w:sz w:val="21"/>
        </w:rPr>
        <w:t>有部份工作台設有揭蓋板以方便上落工作台用，揭蓋板應經常保持在緊閉狀態。</w:t>
      </w:r>
    </w:p>
    <w:p w:rsidR="0045386E" w:rsidRDefault="0045386E" w:rsidP="0045386E">
      <w:pPr>
        <w:numPr>
          <w:ilvl w:val="0"/>
          <w:numId w:val="3"/>
        </w:numPr>
        <w:spacing w:line="440" w:lineRule="exact"/>
        <w:jc w:val="both"/>
        <w:rPr>
          <w:rFonts w:ascii="新細明體" w:hAnsi="新細明體" w:hint="eastAsia"/>
          <w:sz w:val="21"/>
        </w:rPr>
      </w:pPr>
      <w:r>
        <w:rPr>
          <w:rFonts w:ascii="新細明體" w:hAnsi="新細明體" w:hint="eastAsia"/>
          <w:sz w:val="21"/>
        </w:rPr>
        <w:t>如工作台附設有腳撑裝置，在使用工作台時，所有腳撑應確保鎖緊在適當位置及緊貼地面。</w:t>
      </w:r>
    </w:p>
    <w:p w:rsidR="0045386E" w:rsidRDefault="0045386E" w:rsidP="0045386E">
      <w:pPr>
        <w:numPr>
          <w:ilvl w:val="0"/>
          <w:numId w:val="3"/>
        </w:numPr>
        <w:spacing w:line="440" w:lineRule="exact"/>
        <w:jc w:val="both"/>
        <w:rPr>
          <w:rFonts w:ascii="新細明體" w:hAnsi="新細明體" w:hint="eastAsia"/>
          <w:sz w:val="21"/>
        </w:rPr>
      </w:pPr>
      <w:r>
        <w:rPr>
          <w:rFonts w:ascii="新細明體" w:hAnsi="新細明體" w:hint="eastAsia"/>
          <w:sz w:val="21"/>
        </w:rPr>
        <w:t>請注意及遵守當局其他有關的條例。可參考：金屬棚架工作安全守則2001—職業安全及健康部。</w:t>
      </w:r>
    </w:p>
    <w:p w:rsidR="0045386E" w:rsidRDefault="0045386E" w:rsidP="0045386E">
      <w:pPr>
        <w:spacing w:line="240" w:lineRule="exact"/>
        <w:jc w:val="both"/>
        <w:rPr>
          <w:rFonts w:ascii="新細明體" w:hAnsi="新細明體" w:hint="eastAsia"/>
          <w:sz w:val="21"/>
        </w:rPr>
      </w:pPr>
    </w:p>
    <w:p w:rsidR="0045386E" w:rsidRDefault="0045386E" w:rsidP="0045386E">
      <w:pPr>
        <w:spacing w:line="440" w:lineRule="exact"/>
        <w:ind w:left="-120"/>
        <w:jc w:val="both"/>
        <w:rPr>
          <w:rFonts w:ascii="新細明體" w:hAnsi="新細明體" w:hint="eastAsia"/>
          <w:b/>
          <w:sz w:val="21"/>
          <w:u w:val="single"/>
        </w:rPr>
      </w:pPr>
      <w:r>
        <w:rPr>
          <w:rFonts w:ascii="新細明體" w:hAnsi="新細明體" w:hint="eastAsia"/>
          <w:b/>
          <w:sz w:val="21"/>
        </w:rPr>
        <w:t xml:space="preserve">丁.   </w:t>
      </w:r>
      <w:r>
        <w:rPr>
          <w:rFonts w:ascii="新細明體" w:hAnsi="新細明體" w:hint="eastAsia"/>
          <w:b/>
          <w:sz w:val="21"/>
          <w:u w:val="single"/>
        </w:rPr>
        <w:t>移動流動金屬工作台安全指引</w:t>
      </w:r>
    </w:p>
    <w:p w:rsidR="0045386E" w:rsidRDefault="0045386E" w:rsidP="0045386E">
      <w:pPr>
        <w:numPr>
          <w:ilvl w:val="0"/>
          <w:numId w:val="4"/>
        </w:numPr>
        <w:spacing w:line="440" w:lineRule="exact"/>
        <w:ind w:left="360" w:hanging="360"/>
        <w:jc w:val="both"/>
        <w:rPr>
          <w:rFonts w:ascii="新細明體" w:hAnsi="新細明體" w:hint="eastAsia"/>
          <w:sz w:val="21"/>
        </w:rPr>
      </w:pPr>
      <w:r>
        <w:rPr>
          <w:rFonts w:ascii="新細明體" w:hAnsi="新細明體" w:hint="eastAsia"/>
          <w:sz w:val="21"/>
        </w:rPr>
        <w:t>流動台必須在平滑堅硬的地面上移動，同時亦要確保路上沒有任何凹陷的地方或障礙。</w:t>
      </w:r>
    </w:p>
    <w:p w:rsidR="0045386E" w:rsidRDefault="0045386E" w:rsidP="0045386E">
      <w:pPr>
        <w:numPr>
          <w:ilvl w:val="0"/>
          <w:numId w:val="4"/>
        </w:numPr>
        <w:spacing w:line="440" w:lineRule="exact"/>
        <w:jc w:val="both"/>
        <w:rPr>
          <w:rFonts w:ascii="新細明體" w:hAnsi="新細明體" w:hint="eastAsia"/>
          <w:b/>
          <w:sz w:val="21"/>
        </w:rPr>
      </w:pPr>
      <w:r>
        <w:rPr>
          <w:rFonts w:ascii="新細明體" w:hAnsi="新細明體" w:hint="eastAsia"/>
          <w:b/>
          <w:sz w:val="21"/>
        </w:rPr>
        <w:t>在移動工作台時，任何人仕或物品不可留在工作平台上。</w:t>
      </w:r>
    </w:p>
    <w:p w:rsidR="0045386E" w:rsidRDefault="0045386E" w:rsidP="0045386E">
      <w:pPr>
        <w:numPr>
          <w:ilvl w:val="0"/>
          <w:numId w:val="4"/>
        </w:numPr>
        <w:spacing w:line="440" w:lineRule="exact"/>
        <w:jc w:val="both"/>
        <w:rPr>
          <w:rFonts w:ascii="新細明體" w:hAnsi="新細明體" w:hint="eastAsia"/>
          <w:sz w:val="21"/>
        </w:rPr>
      </w:pPr>
      <w:r>
        <w:rPr>
          <w:rFonts w:ascii="新細明體" w:hAnsi="新細明體" w:hint="eastAsia"/>
          <w:sz w:val="21"/>
        </w:rPr>
        <w:t>鬆開所有臨時扣碼及腳輪的制動。</w:t>
      </w:r>
    </w:p>
    <w:p w:rsidR="0045386E" w:rsidRDefault="0045386E" w:rsidP="0045386E">
      <w:pPr>
        <w:numPr>
          <w:ilvl w:val="0"/>
          <w:numId w:val="4"/>
        </w:numPr>
        <w:spacing w:line="440" w:lineRule="exact"/>
        <w:ind w:left="360" w:hanging="360"/>
        <w:jc w:val="both"/>
        <w:rPr>
          <w:rFonts w:ascii="新細明體" w:hAnsi="新細明體" w:hint="eastAsia"/>
          <w:b/>
          <w:sz w:val="21"/>
        </w:rPr>
      </w:pPr>
      <w:r>
        <w:rPr>
          <w:rFonts w:ascii="新細明體" w:hAnsi="新細明體" w:hint="eastAsia"/>
          <w:sz w:val="21"/>
        </w:rPr>
        <w:t>移動前將腳撐之底積調高，約離地面10至20毫米，</w:t>
      </w:r>
      <w:r>
        <w:rPr>
          <w:rFonts w:ascii="新細明體" w:hAnsi="新細明體" w:hint="eastAsia"/>
          <w:b/>
          <w:sz w:val="21"/>
        </w:rPr>
        <w:t>切勿在移動工作台時拆去腳撐。</w:t>
      </w:r>
    </w:p>
    <w:p w:rsidR="0045386E" w:rsidRDefault="0045386E" w:rsidP="0045386E">
      <w:pPr>
        <w:numPr>
          <w:ilvl w:val="0"/>
          <w:numId w:val="4"/>
        </w:numPr>
        <w:spacing w:line="440" w:lineRule="exact"/>
        <w:jc w:val="both"/>
        <w:rPr>
          <w:rFonts w:ascii="新細明體" w:hAnsi="新細明體" w:hint="eastAsia"/>
          <w:sz w:val="21"/>
        </w:rPr>
      </w:pPr>
      <w:r>
        <w:rPr>
          <w:rFonts w:ascii="新細明體" w:hAnsi="新細明體" w:hint="eastAsia"/>
          <w:sz w:val="21"/>
        </w:rPr>
        <w:t>移動流動工作台時，應站在台的兩側或從後推行，不要搖動工作台。避免站在工作台的前方拖拉工作台，以免工作台傾倒時壓傷工人。</w:t>
      </w:r>
    </w:p>
    <w:p w:rsidR="0045386E" w:rsidRDefault="0045386E" w:rsidP="0045386E">
      <w:pPr>
        <w:numPr>
          <w:ilvl w:val="0"/>
          <w:numId w:val="4"/>
        </w:numPr>
        <w:spacing w:line="440" w:lineRule="exact"/>
        <w:jc w:val="both"/>
        <w:rPr>
          <w:rFonts w:ascii="新細明體" w:hAnsi="新細明體" w:hint="eastAsia"/>
          <w:sz w:val="21"/>
        </w:rPr>
      </w:pPr>
      <w:r>
        <w:rPr>
          <w:rFonts w:ascii="新細明體" w:hAnsi="新細明體" w:hint="eastAsia"/>
          <w:sz w:val="21"/>
        </w:rPr>
        <w:t>為保持較佳的穩定性，移動工作台時，較窄的一方應面向前。</w:t>
      </w:r>
    </w:p>
    <w:p w:rsidR="0045386E" w:rsidRDefault="0045386E" w:rsidP="0045386E">
      <w:pPr>
        <w:numPr>
          <w:ilvl w:val="0"/>
          <w:numId w:val="4"/>
        </w:numPr>
        <w:spacing w:line="440" w:lineRule="exact"/>
        <w:jc w:val="both"/>
        <w:rPr>
          <w:rFonts w:ascii="新細明體" w:hAnsi="新細明體" w:hint="eastAsia"/>
          <w:sz w:val="21"/>
        </w:rPr>
      </w:pPr>
      <w:r>
        <w:rPr>
          <w:rFonts w:ascii="新細明體" w:hAnsi="新細明體" w:hint="eastAsia"/>
          <w:sz w:val="21"/>
        </w:rPr>
        <w:t>請用步行及平均的速度推行工作台，切勿過急。</w:t>
      </w:r>
    </w:p>
    <w:p w:rsidR="0045386E" w:rsidRDefault="0045386E" w:rsidP="0045386E">
      <w:pPr>
        <w:numPr>
          <w:ilvl w:val="0"/>
          <w:numId w:val="4"/>
        </w:numPr>
        <w:spacing w:line="440" w:lineRule="exact"/>
        <w:jc w:val="both"/>
        <w:rPr>
          <w:rFonts w:ascii="新細明體" w:hAnsi="新細明體" w:hint="eastAsia"/>
          <w:sz w:val="21"/>
        </w:rPr>
      </w:pPr>
      <w:r>
        <w:rPr>
          <w:rFonts w:ascii="新細明體" w:hAnsi="新細明體" w:hint="eastAsia"/>
          <w:sz w:val="21"/>
        </w:rPr>
        <w:t>盡量在最低位推動工作台，如有障礙物阻礙腳輪，應立即清除，切勿強行推過。</w:t>
      </w:r>
    </w:p>
    <w:p w:rsidR="0045386E" w:rsidRDefault="0045386E" w:rsidP="0045386E">
      <w:pPr>
        <w:numPr>
          <w:ilvl w:val="0"/>
          <w:numId w:val="4"/>
        </w:numPr>
        <w:spacing w:line="440" w:lineRule="exact"/>
        <w:jc w:val="both"/>
        <w:rPr>
          <w:rFonts w:ascii="新細明體" w:hAnsi="新細明體" w:hint="eastAsia"/>
          <w:sz w:val="21"/>
        </w:rPr>
      </w:pPr>
      <w:r>
        <w:rPr>
          <w:rFonts w:ascii="新細明體" w:hAnsi="新細明體" w:hint="eastAsia"/>
          <w:sz w:val="21"/>
        </w:rPr>
        <w:t>推行時要注意路人。盡可能在推行的路線上，加設臨時圍欄。</w:t>
      </w:r>
    </w:p>
    <w:p w:rsidR="0045386E" w:rsidRDefault="0045386E" w:rsidP="0045386E">
      <w:pPr>
        <w:numPr>
          <w:ilvl w:val="0"/>
          <w:numId w:val="4"/>
        </w:numPr>
        <w:spacing w:line="440" w:lineRule="exact"/>
        <w:jc w:val="both"/>
        <w:rPr>
          <w:rFonts w:ascii="新細明體" w:hAnsi="新細明體" w:hint="eastAsia"/>
          <w:sz w:val="21"/>
        </w:rPr>
      </w:pPr>
      <w:r>
        <w:rPr>
          <w:rFonts w:ascii="新細明體" w:hAnsi="新細明體" w:hint="eastAsia"/>
          <w:sz w:val="21"/>
        </w:rPr>
        <w:t>移動工作台完成後， 切記鎖好所有腳輪的制動及把腳撐之底積壓貼在地面上。</w:t>
      </w:r>
    </w:p>
    <w:p w:rsidR="0045386E" w:rsidRDefault="0045386E" w:rsidP="0045386E">
      <w:pPr>
        <w:numPr>
          <w:ilvl w:val="0"/>
          <w:numId w:val="4"/>
        </w:numPr>
        <w:spacing w:line="440" w:lineRule="exact"/>
        <w:ind w:left="360" w:hanging="360"/>
        <w:jc w:val="both"/>
        <w:rPr>
          <w:rFonts w:hint="eastAsia"/>
          <w:sz w:val="21"/>
        </w:rPr>
      </w:pPr>
      <w:r>
        <w:rPr>
          <w:rFonts w:hint="eastAsia"/>
          <w:sz w:val="21"/>
        </w:rPr>
        <w:lastRenderedPageBreak/>
        <w:t>請注意及遵守當局其他有關的條例。可參考：金屬棚架工作安全守則</w:t>
      </w:r>
      <w:r>
        <w:rPr>
          <w:sz w:val="21"/>
        </w:rPr>
        <w:t>2001—</w:t>
      </w:r>
      <w:r>
        <w:rPr>
          <w:rFonts w:hint="eastAsia"/>
          <w:sz w:val="21"/>
        </w:rPr>
        <w:t>職業安全及健康部。</w:t>
      </w:r>
    </w:p>
    <w:p w:rsidR="0045386E" w:rsidRDefault="0045386E" w:rsidP="0045386E">
      <w:pPr>
        <w:spacing w:line="240" w:lineRule="exact"/>
        <w:rPr>
          <w:rFonts w:ascii="新細明體" w:hAnsi="新細明體"/>
          <w:sz w:val="21"/>
        </w:rPr>
      </w:pPr>
    </w:p>
    <w:p w:rsidR="0045386E" w:rsidRDefault="0045386E" w:rsidP="0045386E">
      <w:pPr>
        <w:rPr>
          <w:rFonts w:ascii="新細明體" w:hAnsi="新細明體" w:hint="eastAsia"/>
          <w:b/>
          <w:sz w:val="21"/>
          <w:u w:val="single"/>
        </w:rPr>
      </w:pPr>
      <w:r>
        <w:rPr>
          <w:rFonts w:ascii="新細明體" w:hAnsi="新細明體" w:hint="eastAsia"/>
          <w:b/>
          <w:sz w:val="21"/>
        </w:rPr>
        <w:t xml:space="preserve">戊.   </w:t>
      </w:r>
      <w:r>
        <w:rPr>
          <w:rFonts w:ascii="新細明體" w:hAnsi="新細明體" w:hint="eastAsia"/>
          <w:b/>
          <w:sz w:val="21"/>
          <w:u w:val="single"/>
        </w:rPr>
        <w:t>金屬流動工作台一般拆卸方法程序</w:t>
      </w:r>
    </w:p>
    <w:p w:rsidR="0045386E" w:rsidRDefault="0045386E" w:rsidP="0045386E">
      <w:pPr>
        <w:numPr>
          <w:ilvl w:val="0"/>
          <w:numId w:val="5"/>
        </w:numPr>
        <w:rPr>
          <w:rFonts w:ascii="新細明體" w:hAnsi="新細明體" w:hint="eastAsia"/>
          <w:sz w:val="21"/>
        </w:rPr>
      </w:pPr>
      <w:r>
        <w:rPr>
          <w:rFonts w:ascii="新細明體" w:hAnsi="新細明體" w:hint="eastAsia"/>
          <w:sz w:val="21"/>
        </w:rPr>
        <w:t>從台的頂層開始拆卸。</w:t>
      </w:r>
    </w:p>
    <w:p w:rsidR="0045386E" w:rsidRDefault="0045386E" w:rsidP="0045386E">
      <w:pPr>
        <w:numPr>
          <w:ilvl w:val="0"/>
          <w:numId w:val="5"/>
        </w:numPr>
        <w:rPr>
          <w:rFonts w:ascii="新細明體" w:hAnsi="新細明體" w:hint="eastAsia"/>
          <w:sz w:val="21"/>
        </w:rPr>
      </w:pPr>
      <w:r>
        <w:rPr>
          <w:rFonts w:ascii="新細明體" w:hAnsi="新細明體" w:hint="eastAsia"/>
          <w:sz w:val="21"/>
        </w:rPr>
        <w:t>首先拆下最頂層的踏板，接著拆樓梯。</w:t>
      </w:r>
    </w:p>
    <w:p w:rsidR="0045386E" w:rsidRDefault="0045386E" w:rsidP="0045386E">
      <w:pPr>
        <w:numPr>
          <w:ilvl w:val="0"/>
          <w:numId w:val="5"/>
        </w:numPr>
        <w:rPr>
          <w:rFonts w:ascii="新細明體" w:hAnsi="新細明體" w:hint="eastAsia"/>
          <w:sz w:val="21"/>
        </w:rPr>
      </w:pPr>
      <w:r>
        <w:rPr>
          <w:rFonts w:ascii="新細明體" w:hAnsi="新細明體" w:hint="eastAsia"/>
          <w:sz w:val="21"/>
        </w:rPr>
        <w:t>其次拆下最頂層的橫杆、較剪和斜撐。</w:t>
      </w:r>
    </w:p>
    <w:p w:rsidR="0045386E" w:rsidRDefault="0045386E" w:rsidP="0045386E">
      <w:pPr>
        <w:numPr>
          <w:ilvl w:val="0"/>
          <w:numId w:val="5"/>
        </w:numPr>
        <w:rPr>
          <w:rFonts w:ascii="新細明體" w:hAnsi="新細明體" w:hint="eastAsia"/>
          <w:sz w:val="21"/>
        </w:rPr>
      </w:pPr>
      <w:r>
        <w:rPr>
          <w:rFonts w:ascii="新細明體" w:hAnsi="新細明體" w:hint="eastAsia"/>
          <w:sz w:val="21"/>
        </w:rPr>
        <w:t>最後拆下最頂層的通架。</w:t>
      </w:r>
    </w:p>
    <w:p w:rsidR="0045386E" w:rsidRDefault="0045386E" w:rsidP="0045386E">
      <w:pPr>
        <w:numPr>
          <w:ilvl w:val="0"/>
          <w:numId w:val="5"/>
        </w:numPr>
        <w:rPr>
          <w:rFonts w:ascii="新細明體" w:hAnsi="新細明體" w:hint="eastAsia"/>
          <w:sz w:val="21"/>
        </w:rPr>
      </w:pPr>
      <w:r>
        <w:rPr>
          <w:rFonts w:ascii="新細明體" w:hAnsi="新細明體" w:hint="eastAsia"/>
          <w:sz w:val="21"/>
        </w:rPr>
        <w:t>重複第二至第四的步驟，將工作台逐層拆下。</w:t>
      </w:r>
    </w:p>
    <w:p w:rsidR="0045386E" w:rsidRDefault="0045386E" w:rsidP="0045386E">
      <w:pPr>
        <w:numPr>
          <w:ilvl w:val="0"/>
          <w:numId w:val="5"/>
        </w:numPr>
        <w:rPr>
          <w:rFonts w:ascii="新細明體" w:hAnsi="新細明體" w:hint="eastAsia"/>
          <w:sz w:val="21"/>
        </w:rPr>
      </w:pPr>
      <w:r>
        <w:rPr>
          <w:rFonts w:ascii="新細明體" w:hAnsi="新細明體" w:hint="eastAsia"/>
          <w:sz w:val="21"/>
        </w:rPr>
        <w:t xml:space="preserve">切勿投擲或拋下零件到地上，以免損壞物料及引致意外。                            </w:t>
      </w:r>
    </w:p>
    <w:p w:rsidR="0045386E" w:rsidRDefault="0045386E" w:rsidP="0045386E">
      <w:pPr>
        <w:ind w:firstLine="300"/>
        <w:rPr>
          <w:rFonts w:ascii="新細明體" w:hAnsi="新細明體" w:hint="eastAsia"/>
          <w:sz w:val="21"/>
        </w:rPr>
      </w:pPr>
      <w:r>
        <w:rPr>
          <w:rFonts w:ascii="新細明體" w:hAnsi="新細明體" w:hint="eastAsia"/>
          <w:sz w:val="21"/>
        </w:rPr>
        <w:t>零件必須用吊帶、繩索或人手傳送到地上。</w:t>
      </w:r>
    </w:p>
    <w:p w:rsidR="0045386E" w:rsidRDefault="0045386E" w:rsidP="0045386E">
      <w:pPr>
        <w:numPr>
          <w:ilvl w:val="0"/>
          <w:numId w:val="5"/>
        </w:numPr>
        <w:rPr>
          <w:rFonts w:ascii="新細明體" w:hAnsi="新細明體" w:hint="eastAsia"/>
          <w:sz w:val="21"/>
        </w:rPr>
      </w:pPr>
      <w:r>
        <w:rPr>
          <w:rFonts w:ascii="新細明體" w:hAnsi="新細明體" w:hint="eastAsia"/>
          <w:sz w:val="21"/>
        </w:rPr>
        <w:t>如工作台裝有扣碼或頂通，當拆卸程序到達該層時，才可將該等扣件拆下。</w:t>
      </w:r>
    </w:p>
    <w:p w:rsidR="0045386E" w:rsidRDefault="0045386E" w:rsidP="0045386E">
      <w:pPr>
        <w:numPr>
          <w:ilvl w:val="0"/>
          <w:numId w:val="5"/>
        </w:numPr>
        <w:rPr>
          <w:rFonts w:ascii="新細明體" w:hAnsi="新細明體" w:hint="eastAsia"/>
          <w:sz w:val="21"/>
        </w:rPr>
      </w:pPr>
      <w:r>
        <w:rPr>
          <w:rFonts w:ascii="新細明體" w:hAnsi="新細明體" w:hint="eastAsia"/>
          <w:sz w:val="21"/>
        </w:rPr>
        <w:t xml:space="preserve">腳撐應留待最底層拆卸時才拆去。                                              </w:t>
      </w:r>
    </w:p>
    <w:p w:rsidR="0045386E" w:rsidRDefault="0045386E" w:rsidP="0045386E">
      <w:pPr>
        <w:ind w:firstLine="300"/>
        <w:rPr>
          <w:rFonts w:ascii="新細明體" w:hAnsi="新細明體" w:hint="eastAsia"/>
          <w:sz w:val="21"/>
        </w:rPr>
      </w:pPr>
      <w:r>
        <w:rPr>
          <w:rFonts w:ascii="新細明體" w:hAnsi="新細明體" w:hint="eastAsia"/>
          <w:b/>
          <w:sz w:val="21"/>
        </w:rPr>
        <w:t>切勿過早除去腳撐。</w:t>
      </w:r>
    </w:p>
    <w:p w:rsidR="0045386E" w:rsidRDefault="0045386E" w:rsidP="0045386E">
      <w:pPr>
        <w:numPr>
          <w:ilvl w:val="0"/>
          <w:numId w:val="5"/>
        </w:numPr>
        <w:ind w:right="32"/>
        <w:rPr>
          <w:rFonts w:ascii="新細明體" w:hAnsi="新細明體" w:hint="eastAsia"/>
          <w:sz w:val="21"/>
        </w:rPr>
      </w:pPr>
      <w:r>
        <w:rPr>
          <w:rFonts w:ascii="新細明體" w:hAnsi="新細明體" w:hint="eastAsia"/>
          <w:sz w:val="21"/>
        </w:rPr>
        <w:t>請注意及遵守當局其他有關的條例。可參考：金屬棚架工作安全守則2001—職業安全及健康部。</w:t>
      </w:r>
    </w:p>
    <w:p w:rsidR="009F3071" w:rsidRPr="0045386E" w:rsidRDefault="009F3071">
      <w:bookmarkStart w:id="0" w:name="_GoBack"/>
      <w:bookmarkEnd w:id="0"/>
    </w:p>
    <w:sectPr w:rsidR="009F3071" w:rsidRPr="0045386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40D0D"/>
    <w:multiLevelType w:val="singleLevel"/>
    <w:tmpl w:val="BBECE878"/>
    <w:lvl w:ilvl="0">
      <w:start w:val="1"/>
      <w:numFmt w:val="decimal"/>
      <w:lvlText w:val="%1."/>
      <w:lvlJc w:val="left"/>
      <w:pPr>
        <w:tabs>
          <w:tab w:val="num" w:pos="300"/>
        </w:tabs>
        <w:ind w:left="300" w:hanging="300"/>
      </w:pPr>
    </w:lvl>
  </w:abstractNum>
  <w:abstractNum w:abstractNumId="1" w15:restartNumberingAfterBreak="0">
    <w:nsid w:val="23505C2D"/>
    <w:multiLevelType w:val="singleLevel"/>
    <w:tmpl w:val="38AA311C"/>
    <w:lvl w:ilvl="0">
      <w:start w:val="1"/>
      <w:numFmt w:val="decimal"/>
      <w:lvlText w:val="%1."/>
      <w:lvlJc w:val="left"/>
      <w:pPr>
        <w:tabs>
          <w:tab w:val="num" w:pos="300"/>
        </w:tabs>
        <w:ind w:left="300" w:hanging="300"/>
      </w:pPr>
    </w:lvl>
  </w:abstractNum>
  <w:abstractNum w:abstractNumId="2" w15:restartNumberingAfterBreak="0">
    <w:nsid w:val="2C5A2474"/>
    <w:multiLevelType w:val="singleLevel"/>
    <w:tmpl w:val="52DE8D06"/>
    <w:lvl w:ilvl="0">
      <w:start w:val="1"/>
      <w:numFmt w:val="decimal"/>
      <w:lvlText w:val="%1."/>
      <w:lvlJc w:val="left"/>
      <w:pPr>
        <w:tabs>
          <w:tab w:val="num" w:pos="360"/>
        </w:tabs>
        <w:ind w:left="300" w:hanging="300"/>
      </w:pPr>
      <w:rPr>
        <w:b w:val="0"/>
        <w:i w:val="0"/>
      </w:rPr>
    </w:lvl>
  </w:abstractNum>
  <w:abstractNum w:abstractNumId="3" w15:restartNumberingAfterBreak="0">
    <w:nsid w:val="38E44C4B"/>
    <w:multiLevelType w:val="singleLevel"/>
    <w:tmpl w:val="51C8EFC6"/>
    <w:lvl w:ilvl="0">
      <w:start w:val="1"/>
      <w:numFmt w:val="decimal"/>
      <w:lvlText w:val="%1."/>
      <w:lvlJc w:val="left"/>
      <w:pPr>
        <w:tabs>
          <w:tab w:val="num" w:pos="300"/>
        </w:tabs>
        <w:ind w:left="300" w:hanging="300"/>
      </w:pPr>
    </w:lvl>
  </w:abstractNum>
  <w:abstractNum w:abstractNumId="4" w15:restartNumberingAfterBreak="0">
    <w:nsid w:val="4DEF1B17"/>
    <w:multiLevelType w:val="singleLevel"/>
    <w:tmpl w:val="15A248FA"/>
    <w:lvl w:ilvl="0">
      <w:start w:val="1"/>
      <w:numFmt w:val="decimal"/>
      <w:lvlText w:val="%1."/>
      <w:lvlJc w:val="left"/>
      <w:pPr>
        <w:tabs>
          <w:tab w:val="num" w:pos="300"/>
        </w:tabs>
        <w:ind w:left="300" w:hanging="300"/>
      </w:pPr>
    </w:lvl>
  </w:abstractNum>
  <w:num w:numId="1">
    <w:abstractNumId w:val="0"/>
    <w:lvlOverride w:ilvl="0">
      <w:startOverride w:val="1"/>
    </w:lvlOverride>
  </w:num>
  <w:num w:numId="2">
    <w:abstractNumId w:val="3"/>
    <w:lvlOverride w:ilvl="0">
      <w:startOverride w:val="1"/>
    </w:lvlOverride>
  </w:num>
  <w:num w:numId="3">
    <w:abstractNumId w:val="4"/>
    <w:lvlOverride w:ilvl="0">
      <w:startOverride w:val="1"/>
    </w:lvlOverride>
  </w:num>
  <w:num w:numId="4">
    <w:abstractNumId w:val="2"/>
    <w:lvlOverride w:ilvl="0">
      <w:startOverride w:val="1"/>
    </w:lvlOverride>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86E"/>
    <w:rsid w:val="00014E7D"/>
    <w:rsid w:val="00032A46"/>
    <w:rsid w:val="000A38FB"/>
    <w:rsid w:val="000E38F5"/>
    <w:rsid w:val="000E508B"/>
    <w:rsid w:val="00195CDE"/>
    <w:rsid w:val="001A42A8"/>
    <w:rsid w:val="00261ADC"/>
    <w:rsid w:val="002818E6"/>
    <w:rsid w:val="002962FA"/>
    <w:rsid w:val="002C02F8"/>
    <w:rsid w:val="003116F6"/>
    <w:rsid w:val="0031420E"/>
    <w:rsid w:val="00346C7C"/>
    <w:rsid w:val="003719FB"/>
    <w:rsid w:val="003B7984"/>
    <w:rsid w:val="003D3B40"/>
    <w:rsid w:val="00420769"/>
    <w:rsid w:val="0044094B"/>
    <w:rsid w:val="0045386E"/>
    <w:rsid w:val="004B7383"/>
    <w:rsid w:val="004F4D90"/>
    <w:rsid w:val="00500B04"/>
    <w:rsid w:val="005316FA"/>
    <w:rsid w:val="00572C95"/>
    <w:rsid w:val="005733CC"/>
    <w:rsid w:val="00583799"/>
    <w:rsid w:val="00636007"/>
    <w:rsid w:val="006604D8"/>
    <w:rsid w:val="00685281"/>
    <w:rsid w:val="0069019A"/>
    <w:rsid w:val="00693BC3"/>
    <w:rsid w:val="00700871"/>
    <w:rsid w:val="007E0BD3"/>
    <w:rsid w:val="007F57C6"/>
    <w:rsid w:val="00845823"/>
    <w:rsid w:val="00850D8F"/>
    <w:rsid w:val="008A2A64"/>
    <w:rsid w:val="008A6A14"/>
    <w:rsid w:val="008E3503"/>
    <w:rsid w:val="008E7844"/>
    <w:rsid w:val="0092481B"/>
    <w:rsid w:val="00972A7F"/>
    <w:rsid w:val="0097642E"/>
    <w:rsid w:val="009F3071"/>
    <w:rsid w:val="00A57C05"/>
    <w:rsid w:val="00AC170A"/>
    <w:rsid w:val="00AC5CD4"/>
    <w:rsid w:val="00AD160A"/>
    <w:rsid w:val="00AD66E7"/>
    <w:rsid w:val="00AF0022"/>
    <w:rsid w:val="00AF5ED3"/>
    <w:rsid w:val="00B25F13"/>
    <w:rsid w:val="00B27583"/>
    <w:rsid w:val="00B33F81"/>
    <w:rsid w:val="00B710E5"/>
    <w:rsid w:val="00BE4E96"/>
    <w:rsid w:val="00C04647"/>
    <w:rsid w:val="00C130E3"/>
    <w:rsid w:val="00D360BE"/>
    <w:rsid w:val="00D41CA9"/>
    <w:rsid w:val="00DB1846"/>
    <w:rsid w:val="00DD72A2"/>
    <w:rsid w:val="00DE44DC"/>
    <w:rsid w:val="00DE73D1"/>
    <w:rsid w:val="00E270B1"/>
    <w:rsid w:val="00E35AD3"/>
    <w:rsid w:val="00E479A6"/>
    <w:rsid w:val="00E57C91"/>
    <w:rsid w:val="00E827AD"/>
    <w:rsid w:val="00EA4820"/>
    <w:rsid w:val="00EC4E95"/>
    <w:rsid w:val="00F23EF4"/>
    <w:rsid w:val="00F42BD4"/>
    <w:rsid w:val="00F4704B"/>
    <w:rsid w:val="00FC555A"/>
    <w:rsid w:val="00FC5CA9"/>
    <w:rsid w:val="00FC7D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EB46D-6D46-4E63-87C3-AACD81FD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86E"/>
    <w:pPr>
      <w:widowControl w:val="0"/>
    </w:pPr>
    <w:rPr>
      <w:rFonts w:ascii="Times New Roman" w:eastAsia="新細明體" w:hAnsi="Times New Roman" w:cs="Times New Roman"/>
      <w:szCs w:val="20"/>
    </w:rPr>
  </w:style>
  <w:style w:type="paragraph" w:styleId="Heading4">
    <w:name w:val="heading 4"/>
    <w:basedOn w:val="Normal"/>
    <w:link w:val="Heading4Char"/>
    <w:uiPriority w:val="9"/>
    <w:semiHidden/>
    <w:unhideWhenUsed/>
    <w:qFormat/>
    <w:rsid w:val="0045386E"/>
    <w:pPr>
      <w:widowControl/>
      <w:spacing w:before="100" w:beforeAutospacing="1" w:after="100" w:afterAutospacing="1"/>
      <w:outlineLvl w:val="3"/>
    </w:pPr>
    <w:rPr>
      <w:rFonts w:eastAsia="Times New Roman"/>
      <w:b/>
      <w:bCs/>
      <w:kern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45386E"/>
    <w:rPr>
      <w:rFonts w:ascii="Times New Roman" w:eastAsia="Times New Roman" w:hAnsi="Times New Roman" w:cs="Times New Roman"/>
      <w:b/>
      <w:bC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7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toprich.appxwebs.com/wp-content/uploads/2015/07/TopRichLogo_H224-e1438765908342.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toprich.appxweb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Ting Lui</dc:creator>
  <cp:keywords/>
  <dc:description/>
  <cp:lastModifiedBy>King Ting Lui</cp:lastModifiedBy>
  <cp:revision>1</cp:revision>
  <dcterms:created xsi:type="dcterms:W3CDTF">2015-08-11T08:51:00Z</dcterms:created>
  <dcterms:modified xsi:type="dcterms:W3CDTF">2015-08-11T08:52:00Z</dcterms:modified>
</cp:coreProperties>
</file>